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86" w:rsidRPr="00B64E60" w:rsidRDefault="000B1286" w:rsidP="000B1286">
      <w:pPr>
        <w:spacing w:line="276" w:lineRule="auto"/>
        <w:jc w:val="center"/>
        <w:rPr>
          <w:b/>
          <w:sz w:val="32"/>
          <w:szCs w:val="32"/>
        </w:rPr>
      </w:pPr>
      <w:r w:rsidRPr="00B64E60">
        <w:rPr>
          <w:b/>
          <w:sz w:val="32"/>
          <w:szCs w:val="32"/>
        </w:rPr>
        <w:t>REPORTOVÁNÍ PROJEKTŮ v programu KANBOARD</w:t>
      </w:r>
    </w:p>
    <w:p w:rsidR="000B1286" w:rsidRPr="00B64E60" w:rsidRDefault="000B1286" w:rsidP="000B128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</w:t>
      </w:r>
      <w:r w:rsidRPr="00B64E60">
        <w:rPr>
          <w:b/>
          <w:sz w:val="32"/>
          <w:szCs w:val="32"/>
        </w:rPr>
        <w:t>září 2022</w:t>
      </w:r>
    </w:p>
    <w:p w:rsidR="000B1286" w:rsidRDefault="000B1286" w:rsidP="000B1286">
      <w:pPr>
        <w:pStyle w:val="Nadpis2"/>
      </w:pPr>
    </w:p>
    <w:p w:rsidR="000B1286" w:rsidRPr="00A22E22" w:rsidRDefault="000B1286" w:rsidP="000B1286">
      <w:pPr>
        <w:spacing w:line="276" w:lineRule="auto"/>
      </w:pPr>
      <w:r w:rsidRPr="00A22E22">
        <w:rPr>
          <w:b/>
        </w:rPr>
        <w:t>Stav ke dni</w:t>
      </w:r>
      <w:r w:rsidRPr="00A22E22">
        <w:t xml:space="preserve">: </w:t>
      </w:r>
      <w:r>
        <w:t>30. 9. 2022</w:t>
      </w:r>
    </w:p>
    <w:p w:rsidR="000B1286" w:rsidRPr="00A22E22" w:rsidRDefault="000B1286" w:rsidP="000B1286">
      <w:pPr>
        <w:spacing w:line="276" w:lineRule="auto"/>
        <w:rPr>
          <w:rFonts w:cstheme="minorHAnsi"/>
          <w:color w:val="000000" w:themeColor="text1"/>
        </w:rPr>
      </w:pPr>
      <w:r w:rsidRPr="00A22E22">
        <w:rPr>
          <w:rFonts w:cstheme="minorHAnsi"/>
          <w:b/>
          <w:color w:val="000000" w:themeColor="text1"/>
        </w:rPr>
        <w:t>Zpracovalo</w:t>
      </w:r>
      <w:r w:rsidRPr="00A22E22">
        <w:rPr>
          <w:rFonts w:cstheme="minorHAnsi"/>
          <w:color w:val="000000" w:themeColor="text1"/>
        </w:rPr>
        <w:t>: oddělení strategického rozvoje a participace ÚMČ Praha 10, Kancelář starostky</w:t>
      </w:r>
    </w:p>
    <w:p w:rsidR="000B1286" w:rsidRDefault="000B1286" w:rsidP="000B1286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Plnění</w:t>
      </w:r>
      <w:r w:rsidRPr="00A22E22">
        <w:rPr>
          <w:rFonts w:cstheme="minorHAnsi"/>
          <w:color w:val="000000" w:themeColor="text1"/>
        </w:rPr>
        <w:t xml:space="preserve">: </w:t>
      </w:r>
      <w:r w:rsidRPr="00A22E22">
        <w:rPr>
          <w:rFonts w:cstheme="minorHAnsi"/>
        </w:rPr>
        <w:t>Metodický</w:t>
      </w:r>
      <w:r w:rsidRPr="00A22E22">
        <w:rPr>
          <w:rFonts w:cstheme="minorHAnsi"/>
          <w:color w:val="000000" w:themeColor="text1"/>
        </w:rPr>
        <w:t xml:space="preserve"> postup pro zavádění strategického a projektového řízení ÚMČ Praha 10 (schválen  RMČ Praha 10 dne 23. 6. 2020 usnesením č. 530)</w:t>
      </w:r>
    </w:p>
    <w:p w:rsidR="000B1286" w:rsidRDefault="000B1286" w:rsidP="000B1286">
      <w:pPr>
        <w:spacing w:line="276" w:lineRule="auto"/>
        <w:rPr>
          <w:rFonts w:cstheme="minorHAnsi"/>
        </w:rPr>
      </w:pPr>
      <w:r w:rsidRPr="002B46AD">
        <w:rPr>
          <w:rFonts w:cstheme="minorHAnsi"/>
          <w:b/>
        </w:rPr>
        <w:t>Zadání:</w:t>
      </w:r>
      <w:r w:rsidRPr="002B46AD">
        <w:rPr>
          <w:rFonts w:cstheme="minorHAnsi"/>
        </w:rPr>
        <w:t xml:space="preserve"> Usnesení </w:t>
      </w:r>
      <w:r>
        <w:rPr>
          <w:rFonts w:cstheme="minorHAnsi"/>
        </w:rPr>
        <w:t xml:space="preserve">RMČ Praha 10 </w:t>
      </w:r>
      <w:r w:rsidRPr="002B46AD">
        <w:rPr>
          <w:rFonts w:cstheme="minorHAnsi"/>
        </w:rPr>
        <w:t xml:space="preserve">č. </w:t>
      </w:r>
      <w:r>
        <w:rPr>
          <w:rFonts w:cstheme="minorHAnsi"/>
        </w:rPr>
        <w:t xml:space="preserve">0632 ze dne 23. 8. 2022, kterým RMČ Praha 10 vzala na vědomí informaci o stavu řešení projektů Akčního plánu 2022 v programu </w:t>
      </w:r>
      <w:proofErr w:type="spellStart"/>
      <w:r>
        <w:rPr>
          <w:rFonts w:cstheme="minorHAnsi"/>
        </w:rPr>
        <w:t>Kanboard</w:t>
      </w:r>
      <w:proofErr w:type="spellEnd"/>
      <w:r>
        <w:rPr>
          <w:rFonts w:cstheme="minorHAnsi"/>
        </w:rPr>
        <w:t xml:space="preserve"> k červnu 2022 a uložila předložit stav k září 2022.</w:t>
      </w:r>
    </w:p>
    <w:p w:rsidR="000B1286" w:rsidRPr="002B46AD" w:rsidRDefault="000B1286" w:rsidP="000B1286">
      <w:pPr>
        <w:spacing w:line="276" w:lineRule="auto"/>
        <w:rPr>
          <w:rFonts w:cstheme="minorHAnsi"/>
        </w:rPr>
      </w:pPr>
    </w:p>
    <w:sdt>
      <w:sdtPr>
        <w:id w:val="4900653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4"/>
          <w:szCs w:val="22"/>
          <w:lang w:eastAsia="en-US"/>
        </w:rPr>
      </w:sdtEndPr>
      <w:sdtContent>
        <w:p w:rsidR="000B1286" w:rsidRDefault="000B1286" w:rsidP="000B1286">
          <w:pPr>
            <w:pStyle w:val="Nadpisobsahu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t>Obsah</w:t>
          </w:r>
        </w:p>
        <w:p w:rsidR="000B1286" w:rsidRDefault="000B1286" w:rsidP="000B1286">
          <w:pPr>
            <w:pStyle w:val="Obsah1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0087083" w:history="1">
            <w:r w:rsidRPr="001A7A3F">
              <w:rPr>
                <w:rStyle w:val="Hypertextovodkaz"/>
                <w:noProof/>
              </w:rPr>
              <w:t>VÝVOJ ŘÍZENÍ PROJEKTŮ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_Toc120087083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CB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286" w:rsidRDefault="000B1286" w:rsidP="000B1286">
          <w:pPr>
            <w:pStyle w:val="Obsah1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0087084" w:history="1">
            <w:r w:rsidRPr="001A7A3F">
              <w:rPr>
                <w:rStyle w:val="Hypertextovodkaz"/>
                <w:noProof/>
              </w:rPr>
              <w:t>AKTUÁLNÍ VÝVOJ za 3. čtvrtletí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_Toc120087084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C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286" w:rsidRDefault="000B1286" w:rsidP="000B1286">
          <w:pPr>
            <w:pStyle w:val="Obsah1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0087085" w:history="1">
            <w:r w:rsidRPr="001A7A3F">
              <w:rPr>
                <w:rStyle w:val="Hypertextovodkaz"/>
                <w:noProof/>
              </w:rPr>
              <w:t>STAV PROJEKTŮ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_Toc120087085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CB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286" w:rsidRDefault="000B1286" w:rsidP="000B1286">
          <w:pPr>
            <w:pStyle w:val="Obsah1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0087086" w:history="1">
            <w:r w:rsidRPr="001A7A3F">
              <w:rPr>
                <w:rStyle w:val="Hypertextovodkaz"/>
                <w:noProof/>
              </w:rPr>
              <w:t>ŘÍZENÍ PROJEKTŮ ODBORY ÚMČ PRAHA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_Toc120087086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C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286" w:rsidRDefault="000B1286" w:rsidP="000B1286">
          <w:pPr>
            <w:pStyle w:val="Obsah1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0087087" w:history="1">
            <w:r w:rsidRPr="001A7A3F">
              <w:rPr>
                <w:rStyle w:val="Hypertextovodkaz"/>
                <w:caps/>
                <w:noProof/>
              </w:rPr>
              <w:t>Přehled počtu projektů naplňující opatření strategického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_Toc120087087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CB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286" w:rsidRDefault="000B1286" w:rsidP="000B1286">
          <w:pPr>
            <w:pStyle w:val="Obsah1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0087088" w:history="1">
            <w:r w:rsidRPr="001A7A3F">
              <w:rPr>
                <w:rStyle w:val="Hypertextovodkaz"/>
                <w:noProof/>
              </w:rPr>
              <w:t>SHRNUTÍ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_Toc120087088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66C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1286" w:rsidRDefault="000B1286" w:rsidP="000B1286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rPr>
              <w:b/>
              <w:bCs/>
            </w:rPr>
            <w:fldChar w:fldCharType="end"/>
          </w:r>
        </w:p>
      </w:sdtContent>
    </w:sdt>
    <w:p w:rsidR="000B1286" w:rsidRDefault="000B1286" w:rsidP="000B1286">
      <w:pPr>
        <w:pStyle w:val="Nadpis1"/>
        <w:spacing w:before="0"/>
      </w:pPr>
    </w:p>
    <w:p w:rsidR="000B1286" w:rsidRDefault="000B1286" w:rsidP="000B1286">
      <w:pPr>
        <w:pStyle w:val="Nadpis1"/>
        <w:spacing w:before="0"/>
      </w:pPr>
      <w:bookmarkStart w:id="0" w:name="_Toc120087083"/>
    </w:p>
    <w:p w:rsidR="000B1286" w:rsidRDefault="000B1286" w:rsidP="000B1286">
      <w:pPr>
        <w:pStyle w:val="Nadpis1"/>
        <w:spacing w:before="0"/>
      </w:pPr>
      <w:r>
        <w:t>VÝVOJ ŘÍZENÍ PROJEKTŮ</w:t>
      </w:r>
      <w:bookmarkStart w:id="1" w:name="_GoBack"/>
      <w:bookmarkEnd w:id="0"/>
      <w:bookmarkEnd w:id="1"/>
    </w:p>
    <w:p w:rsidR="000B1286" w:rsidRPr="00675E52" w:rsidRDefault="000B1286" w:rsidP="000B1286">
      <w:r>
        <w:t>(21. 11. 2020 – 30. 9. 2022)</w:t>
      </w:r>
    </w:p>
    <w:p w:rsidR="000B1286" w:rsidRDefault="000B1286" w:rsidP="000B1286">
      <w:pPr>
        <w:rPr>
          <w:b/>
        </w:rPr>
      </w:pPr>
    </w:p>
    <w:p w:rsidR="000B1286" w:rsidRDefault="000B1286" w:rsidP="000B1286">
      <w:pPr>
        <w:rPr>
          <w:b/>
        </w:rPr>
      </w:pPr>
      <w:r>
        <w:rPr>
          <w:b/>
        </w:rPr>
        <w:t>Vývoj projektového řízení</w:t>
      </w:r>
    </w:p>
    <w:p w:rsidR="000B1286" w:rsidRPr="00D22263" w:rsidRDefault="000B1286" w:rsidP="000B1286">
      <w:pPr>
        <w:rPr>
          <w:b/>
        </w:rPr>
      </w:pPr>
    </w:p>
    <w:p w:rsidR="000B1286" w:rsidRDefault="000B1286" w:rsidP="000B1286">
      <w:pPr>
        <w:spacing w:line="276" w:lineRule="auto"/>
      </w:pPr>
      <w:r>
        <w:t>24. 11. 2020 – zahájení projektového řízení pomocí 29 pilotních projektů.</w:t>
      </w:r>
    </w:p>
    <w:p w:rsidR="000B1286" w:rsidRDefault="000B1286" w:rsidP="000B1286">
      <w:pPr>
        <w:spacing w:line="276" w:lineRule="auto"/>
      </w:pPr>
      <w:r>
        <w:t>21. 1. 2021 – zahájení řízení 161 projektů = pilotní projekty, projekty Akčního plánu 2021 a vybrané projekty,</w:t>
      </w:r>
      <w:r w:rsidRPr="00A22E22">
        <w:t xml:space="preserve"> které jsou součástí projektových karet pro Strategii tour. Veřejný seznam vybraných projektů je uveřejněn na webu </w:t>
      </w:r>
      <w:hyperlink r:id="rId6" w:history="1">
        <w:r w:rsidRPr="00A22E22">
          <w:t>https://strategieprodesitku.cz/projekty</w:t>
        </w:r>
      </w:hyperlink>
      <w:r w:rsidRPr="00A22E22">
        <w:t xml:space="preserve"> (</w:t>
      </w:r>
      <w:r>
        <w:t>poslední aktualizace v dubnu 2022</w:t>
      </w:r>
      <w:r w:rsidRPr="00A22E22">
        <w:t>).</w:t>
      </w:r>
    </w:p>
    <w:p w:rsidR="000B1286" w:rsidRDefault="000B1286" w:rsidP="000B1286">
      <w:pPr>
        <w:spacing w:line="276" w:lineRule="auto"/>
      </w:pPr>
      <w:r>
        <w:t>31. 8. 2021 – řízení 184 projektů, z toho 31 dokončených.</w:t>
      </w:r>
    </w:p>
    <w:p w:rsidR="000B1286" w:rsidRDefault="000B1286" w:rsidP="000B1286">
      <w:pPr>
        <w:spacing w:line="276" w:lineRule="auto"/>
      </w:pPr>
      <w:r>
        <w:t>31. 12. 2021 – řízení 183 projektů, z toho 59 dokončených.</w:t>
      </w:r>
    </w:p>
    <w:p w:rsidR="000B1286" w:rsidRDefault="000B1286" w:rsidP="000B1286">
      <w:pPr>
        <w:spacing w:line="276" w:lineRule="auto"/>
      </w:pPr>
      <w:r>
        <w:t>31. 3. 2022 – řízení 210 projektů, z toho 55 dokončených.</w:t>
      </w:r>
    </w:p>
    <w:p w:rsidR="000B1286" w:rsidRDefault="000B1286" w:rsidP="000B1286">
      <w:pPr>
        <w:spacing w:line="276" w:lineRule="auto"/>
      </w:pPr>
      <w:r>
        <w:t>30. 6. 2022 – řízení 208 projektů, z toho 66 dokončených.</w:t>
      </w:r>
    </w:p>
    <w:p w:rsidR="000B1286" w:rsidRDefault="000B1286" w:rsidP="000B1286">
      <w:pPr>
        <w:spacing w:line="276" w:lineRule="auto"/>
      </w:pPr>
      <w:r>
        <w:t>30. 9. 2022 – řízení 208 projektů, z toho 67 dokončených.</w:t>
      </w:r>
    </w:p>
    <w:p w:rsidR="000B1286" w:rsidRDefault="000B1286" w:rsidP="000B1286">
      <w:pPr>
        <w:spacing w:line="276" w:lineRule="auto"/>
      </w:pPr>
    </w:p>
    <w:p w:rsidR="000B1286" w:rsidRDefault="000B1286" w:rsidP="000B1286"/>
    <w:p w:rsidR="000B1286" w:rsidRDefault="000B1286" w:rsidP="000B1286">
      <w:pPr>
        <w:spacing w:line="276" w:lineRule="auto"/>
      </w:pPr>
      <w:r>
        <w:lastRenderedPageBreak/>
        <w:t xml:space="preserve">V lednu 2022 byly do programu </w:t>
      </w:r>
      <w:proofErr w:type="spellStart"/>
      <w:r>
        <w:t>Kanboard</w:t>
      </w:r>
      <w:proofErr w:type="spellEnd"/>
      <w:r>
        <w:t xml:space="preserve"> vloženy projekty Akčního plánu pro rok 2022. Zároveň některé dokončené projekty / aktivity (jedná se o neinvestiční každoročně se opakující akce), byly opět zařazeny mezi projekty „realizované“, z tohoto důvodu se zmenšil počet dokončených projektů oproti stavu ke konci roku 2021.</w:t>
      </w:r>
    </w:p>
    <w:p w:rsidR="000B1286" w:rsidRDefault="000B1286" w:rsidP="000B1286">
      <w:pPr>
        <w:spacing w:line="276" w:lineRule="auto"/>
      </w:pPr>
    </w:p>
    <w:p w:rsidR="000B1286" w:rsidRDefault="000B1286" w:rsidP="000B1286">
      <w:pPr>
        <w:spacing w:line="276" w:lineRule="auto"/>
      </w:pPr>
      <w:r w:rsidRPr="00D22263">
        <w:rPr>
          <w:b/>
        </w:rPr>
        <w:t>Akční plán 2021</w:t>
      </w:r>
      <w:r>
        <w:t xml:space="preserve"> obsahuje 146 projektů/akcí, z toho je 38 investičních.</w:t>
      </w:r>
    </w:p>
    <w:p w:rsidR="000B1286" w:rsidRDefault="000B1286" w:rsidP="000B1286">
      <w:pPr>
        <w:spacing w:line="276" w:lineRule="auto"/>
      </w:pPr>
      <w:r>
        <w:t xml:space="preserve">Seznam projektů schválených ZMČ Praha 10 je uveden na tomto odkazu: </w:t>
      </w:r>
      <w:hyperlink r:id="rId7" w:history="1">
        <w:r w:rsidRPr="00413C00">
          <w:rPr>
            <w:rStyle w:val="Hypertextovodkaz"/>
          </w:rPr>
          <w:t>https://strategieprodesitku.cz/blog/akcni</w:t>
        </w:r>
        <w:r w:rsidRPr="00413C00">
          <w:rPr>
            <w:rStyle w:val="Hypertextovodkaz"/>
          </w:rPr>
          <w:t>-</w:t>
        </w:r>
        <w:r w:rsidRPr="00413C00">
          <w:rPr>
            <w:rStyle w:val="Hypertextovodkaz"/>
          </w:rPr>
          <w:t>plan-2021/</w:t>
        </w:r>
      </w:hyperlink>
      <w:r>
        <w:t xml:space="preserve"> </w:t>
      </w:r>
    </w:p>
    <w:p w:rsidR="000B1286" w:rsidRDefault="000B1286" w:rsidP="000B1286">
      <w:pPr>
        <w:spacing w:line="276" w:lineRule="auto"/>
      </w:pPr>
    </w:p>
    <w:p w:rsidR="000B1286" w:rsidRDefault="000B1286" w:rsidP="000B1286">
      <w:pPr>
        <w:spacing w:line="276" w:lineRule="auto"/>
      </w:pPr>
      <w:r w:rsidRPr="00D22263">
        <w:rPr>
          <w:b/>
        </w:rPr>
        <w:t>Akční plán 2022</w:t>
      </w:r>
      <w:r>
        <w:t xml:space="preserve"> obsahuje 129 projektů/akcí, z toho je 39 investičních.</w:t>
      </w:r>
    </w:p>
    <w:p w:rsidR="000B1286" w:rsidRDefault="000B1286" w:rsidP="000B1286">
      <w:pPr>
        <w:spacing w:line="276" w:lineRule="auto"/>
      </w:pPr>
      <w:r>
        <w:t>Seznam projektů schválených ZMČ Praha 10 je uveden na tomto odkazu:</w:t>
      </w:r>
    </w:p>
    <w:p w:rsidR="000B1286" w:rsidRDefault="000B1286" w:rsidP="000B1286">
      <w:pPr>
        <w:spacing w:line="276" w:lineRule="auto"/>
      </w:pPr>
      <w:hyperlink r:id="rId8" w:history="1">
        <w:r w:rsidRPr="00413C00">
          <w:rPr>
            <w:rStyle w:val="Hypertextovodkaz"/>
          </w:rPr>
          <w:t>https://strategieprodesitku.cz/blog/a</w:t>
        </w:r>
        <w:r w:rsidRPr="00413C00">
          <w:rPr>
            <w:rStyle w:val="Hypertextovodkaz"/>
          </w:rPr>
          <w:t>k</w:t>
        </w:r>
        <w:r w:rsidRPr="00413C00">
          <w:rPr>
            <w:rStyle w:val="Hypertextovodkaz"/>
          </w:rPr>
          <w:t>cni-plan-2022/</w:t>
        </w:r>
      </w:hyperlink>
      <w:r>
        <w:t xml:space="preserve"> </w:t>
      </w:r>
    </w:p>
    <w:p w:rsidR="000B1286" w:rsidRDefault="000B1286" w:rsidP="000B1286">
      <w:pPr>
        <w:spacing w:line="276" w:lineRule="auto"/>
      </w:pPr>
    </w:p>
    <w:p w:rsidR="000B1286" w:rsidRDefault="000B1286" w:rsidP="000B1286">
      <w:pPr>
        <w:spacing w:line="276" w:lineRule="auto"/>
      </w:pPr>
    </w:p>
    <w:p w:rsidR="000B1286" w:rsidRDefault="000B1286" w:rsidP="000B1286">
      <w:pPr>
        <w:spacing w:line="276" w:lineRule="auto"/>
      </w:pPr>
      <w:r w:rsidRPr="00D22263">
        <w:t>Graf č. 1</w:t>
      </w:r>
      <w:r w:rsidRPr="008C74F9">
        <w:t xml:space="preserve"> znázorňuje vývoj stavu řízení projektů od zahájení projektového řízení, tj. </w:t>
      </w:r>
      <w:r>
        <w:t>listopad 2020</w:t>
      </w:r>
      <w:r w:rsidRPr="008C74F9">
        <w:t xml:space="preserve"> do konce </w:t>
      </w:r>
      <w:r>
        <w:t>září</w:t>
      </w:r>
      <w:r w:rsidRPr="008C74F9">
        <w:t xml:space="preserve"> 2022.</w:t>
      </w:r>
    </w:p>
    <w:p w:rsidR="000B1286" w:rsidRDefault="000B1286" w:rsidP="000B1286">
      <w:pPr>
        <w:spacing w:line="276" w:lineRule="auto"/>
      </w:pPr>
    </w:p>
    <w:p w:rsidR="000B1286" w:rsidRDefault="000B1286" w:rsidP="000B1286">
      <w:pPr>
        <w:spacing w:line="276" w:lineRule="auto"/>
        <w:rPr>
          <w:i/>
        </w:rPr>
      </w:pPr>
    </w:p>
    <w:p w:rsidR="000B1286" w:rsidRPr="00DE6295" w:rsidRDefault="000B1286" w:rsidP="000B1286">
      <w:pPr>
        <w:rPr>
          <w:i/>
        </w:rPr>
      </w:pPr>
      <w:r w:rsidRPr="00DE6295">
        <w:rPr>
          <w:i/>
        </w:rPr>
        <w:t>Graf č. 1 – Vývoj řízení projektů</w:t>
      </w:r>
    </w:p>
    <w:p w:rsidR="000B1286" w:rsidRDefault="000B1286" w:rsidP="000B1286"/>
    <w:p w:rsidR="000B1286" w:rsidRDefault="000B1286" w:rsidP="000B1286">
      <w:pPr>
        <w:jc w:val="center"/>
      </w:pPr>
      <w:r>
        <w:rPr>
          <w:noProof/>
          <w:lang w:eastAsia="cs-CZ"/>
        </w:rPr>
        <w:drawing>
          <wp:inline distT="0" distB="0" distL="0" distR="0" wp14:anchorId="7F24CDB6" wp14:editId="41F4C384">
            <wp:extent cx="5621572" cy="2743200"/>
            <wp:effectExtent l="0" t="0" r="1778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286" w:rsidRDefault="000B1286" w:rsidP="000B1286"/>
    <w:p w:rsidR="000B1286" w:rsidRDefault="000B1286" w:rsidP="000B1286"/>
    <w:p w:rsidR="000B1286" w:rsidRDefault="000B1286" w:rsidP="000B1286">
      <w:pPr>
        <w:spacing w:line="276" w:lineRule="auto"/>
      </w:pPr>
      <w:r w:rsidRPr="00272D40">
        <w:rPr>
          <w:b/>
        </w:rPr>
        <w:t>Nevyřízené projekty</w:t>
      </w:r>
      <w:r>
        <w:rPr>
          <w:b/>
        </w:rPr>
        <w:t xml:space="preserve"> </w:t>
      </w:r>
      <w:r w:rsidRPr="00F56B67">
        <w:t>(modrá barva)</w:t>
      </w:r>
      <w:r>
        <w:t xml:space="preserve"> = projekty, které nebyly zahájeny.</w:t>
      </w:r>
    </w:p>
    <w:p w:rsidR="000B1286" w:rsidRDefault="000B1286" w:rsidP="000B1286">
      <w:pPr>
        <w:spacing w:line="276" w:lineRule="auto"/>
      </w:pPr>
      <w:r w:rsidRPr="00272D40">
        <w:rPr>
          <w:b/>
        </w:rPr>
        <w:t>Projekty v přípravě</w:t>
      </w:r>
      <w:r>
        <w:t xml:space="preserve"> </w:t>
      </w:r>
      <w:r w:rsidRPr="00F56B67">
        <w:t>(</w:t>
      </w:r>
      <w:r>
        <w:t xml:space="preserve">oranžová </w:t>
      </w:r>
      <w:r w:rsidRPr="00F56B67">
        <w:t>barva)</w:t>
      </w:r>
      <w:r>
        <w:t xml:space="preserve"> = projekty, jejichž realizace je zahájena.</w:t>
      </w:r>
    </w:p>
    <w:p w:rsidR="000B1286" w:rsidRDefault="000B1286" w:rsidP="000B1286">
      <w:pPr>
        <w:spacing w:line="276" w:lineRule="auto"/>
      </w:pPr>
      <w:r w:rsidRPr="00272D40">
        <w:rPr>
          <w:b/>
        </w:rPr>
        <w:t>Projekty realizované</w:t>
      </w:r>
      <w:r>
        <w:t xml:space="preserve"> </w:t>
      </w:r>
      <w:r w:rsidRPr="00F56B67">
        <w:t>(</w:t>
      </w:r>
      <w:r>
        <w:t>šedivá</w:t>
      </w:r>
      <w:r w:rsidRPr="00F56B67">
        <w:t xml:space="preserve"> barva)</w:t>
      </w:r>
      <w:r>
        <w:t xml:space="preserve"> = projekty, které jsou realizovány.</w:t>
      </w:r>
    </w:p>
    <w:p w:rsidR="000B1286" w:rsidRDefault="000B1286" w:rsidP="000B1286">
      <w:pPr>
        <w:spacing w:line="276" w:lineRule="auto"/>
      </w:pPr>
      <w:r w:rsidRPr="00272D40">
        <w:rPr>
          <w:b/>
        </w:rPr>
        <w:t>Projekty dokončené</w:t>
      </w:r>
      <w:r>
        <w:rPr>
          <w:b/>
        </w:rPr>
        <w:t xml:space="preserve"> </w:t>
      </w:r>
      <w:r w:rsidRPr="00F56B67">
        <w:t>(</w:t>
      </w:r>
      <w:r>
        <w:t>žlutá</w:t>
      </w:r>
      <w:r w:rsidRPr="00F56B67">
        <w:t xml:space="preserve"> barva)</w:t>
      </w:r>
      <w:r>
        <w:t xml:space="preserve"> = projekty, které jsou dokončeny.</w:t>
      </w:r>
    </w:p>
    <w:p w:rsidR="000B1286" w:rsidRDefault="000B1286" w:rsidP="000B1286">
      <w:pPr>
        <w:pStyle w:val="Nadpis1"/>
        <w:spacing w:before="0" w:line="276" w:lineRule="auto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  <w:bookmarkStart w:id="2" w:name="_Toc120087084"/>
    </w:p>
    <w:p w:rsidR="000B1286" w:rsidRDefault="000B1286" w:rsidP="000B1286">
      <w:pPr>
        <w:pStyle w:val="Nadpis1"/>
        <w:spacing w:before="0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</w:p>
    <w:p w:rsidR="000B1286" w:rsidRPr="007416D1" w:rsidRDefault="000B1286" w:rsidP="000B1286"/>
    <w:p w:rsidR="000B1286" w:rsidRDefault="000B1286" w:rsidP="000B1286">
      <w:pPr>
        <w:pStyle w:val="Nadpis1"/>
        <w:spacing w:before="0"/>
      </w:pPr>
      <w:r w:rsidRPr="00EF7DE6">
        <w:lastRenderedPageBreak/>
        <w:t xml:space="preserve">AKTUÁLNÍ VÝVOJ </w:t>
      </w:r>
      <w:r>
        <w:t>za 3. čtvrtletí 2022</w:t>
      </w:r>
      <w:bookmarkEnd w:id="2"/>
    </w:p>
    <w:p w:rsidR="000B1286" w:rsidRPr="003224EE" w:rsidRDefault="000B1286" w:rsidP="000B1286">
      <w:pPr>
        <w:rPr>
          <w:rFonts w:cstheme="minorHAnsi"/>
          <w:color w:val="000000" w:themeColor="text1"/>
        </w:rPr>
      </w:pPr>
      <w:r w:rsidRPr="003224EE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</w:rPr>
        <w:t>1. 7. 2022 do 30. 9. 2022</w:t>
      </w:r>
      <w:r w:rsidRPr="003224EE">
        <w:rPr>
          <w:rFonts w:cstheme="minorHAnsi"/>
          <w:color w:val="000000" w:themeColor="text1"/>
        </w:rPr>
        <w:t>)</w:t>
      </w:r>
    </w:p>
    <w:p w:rsidR="000B1286" w:rsidRDefault="000B1286" w:rsidP="000B1286">
      <w:pPr>
        <w:rPr>
          <w:rFonts w:cstheme="minorHAnsi"/>
          <w:color w:val="000000" w:themeColor="text1"/>
        </w:rPr>
      </w:pPr>
    </w:p>
    <w:p w:rsidR="000B1286" w:rsidRPr="000C4BA3" w:rsidRDefault="000B1286" w:rsidP="000B1286">
      <w:pPr>
        <w:spacing w:line="276" w:lineRule="auto"/>
        <w:rPr>
          <w:rFonts w:cstheme="minorHAnsi"/>
          <w:color w:val="000000" w:themeColor="text1"/>
        </w:rPr>
      </w:pPr>
      <w:r w:rsidRPr="003224EE">
        <w:rPr>
          <w:rFonts w:cstheme="minorHAnsi"/>
          <w:color w:val="000000" w:themeColor="text1"/>
        </w:rPr>
        <w:t xml:space="preserve">V roce 2020 byly v programu </w:t>
      </w:r>
      <w:proofErr w:type="spellStart"/>
      <w:r w:rsidRPr="003224EE">
        <w:rPr>
          <w:rFonts w:cstheme="minorHAnsi"/>
          <w:color w:val="000000" w:themeColor="text1"/>
        </w:rPr>
        <w:t>Kanboard</w:t>
      </w:r>
      <w:proofErr w:type="spellEnd"/>
      <w:r w:rsidRPr="003224EE">
        <w:rPr>
          <w:rFonts w:cstheme="minorHAnsi"/>
          <w:color w:val="000000" w:themeColor="text1"/>
        </w:rPr>
        <w:t xml:space="preserve"> vedeny pilotní projekty. V lednu 2021 </w:t>
      </w:r>
      <w:r>
        <w:rPr>
          <w:rFonts w:cstheme="minorHAnsi"/>
          <w:color w:val="000000" w:themeColor="text1"/>
        </w:rPr>
        <w:t>byly</w:t>
      </w:r>
      <w:r w:rsidRPr="003224EE">
        <w:rPr>
          <w:rFonts w:cstheme="minorHAnsi"/>
          <w:color w:val="000000" w:themeColor="text1"/>
        </w:rPr>
        <w:t xml:space="preserve"> do systému importov</w:t>
      </w:r>
      <w:r>
        <w:rPr>
          <w:rFonts w:cstheme="minorHAnsi"/>
          <w:color w:val="000000" w:themeColor="text1"/>
        </w:rPr>
        <w:t>ány</w:t>
      </w:r>
      <w:r w:rsidRPr="003224EE">
        <w:rPr>
          <w:rFonts w:cstheme="minorHAnsi"/>
          <w:color w:val="000000" w:themeColor="text1"/>
        </w:rPr>
        <w:t xml:space="preserve"> projekty Akčního plánu</w:t>
      </w:r>
      <w:r>
        <w:rPr>
          <w:rFonts w:cstheme="minorHAnsi"/>
          <w:color w:val="000000" w:themeColor="text1"/>
        </w:rPr>
        <w:t xml:space="preserve"> 2021, v lednu 2022 projekty Akčního plánu 2022</w:t>
      </w:r>
      <w:r w:rsidRPr="003224EE">
        <w:rPr>
          <w:rFonts w:cstheme="minorHAnsi"/>
          <w:color w:val="000000" w:themeColor="text1"/>
        </w:rPr>
        <w:t xml:space="preserve">. Postupně docházelo k proškolování zaměstnanců, kteří od 1. 4. </w:t>
      </w:r>
      <w:r>
        <w:rPr>
          <w:rFonts w:cstheme="minorHAnsi"/>
          <w:color w:val="000000" w:themeColor="text1"/>
        </w:rPr>
        <w:t>2021 projekty reportovali</w:t>
      </w:r>
      <w:r w:rsidRPr="000C4BA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měsíčně, </w:t>
      </w:r>
      <w:proofErr w:type="gramStart"/>
      <w:r>
        <w:rPr>
          <w:rFonts w:cstheme="minorHAnsi"/>
          <w:color w:val="000000" w:themeColor="text1"/>
        </w:rPr>
        <w:t>tzn. aktualizovali</w:t>
      </w:r>
      <w:proofErr w:type="gramEnd"/>
      <w:r>
        <w:rPr>
          <w:rFonts w:cstheme="minorHAnsi"/>
          <w:color w:val="000000" w:themeColor="text1"/>
        </w:rPr>
        <w:t xml:space="preserve"> stav projektu. Od ledna 2022 vedoucí projektů reportují již čtvrtletně.</w:t>
      </w:r>
    </w:p>
    <w:p w:rsidR="000B1286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</w:p>
    <w:p w:rsidR="000B1286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  <w:r w:rsidRPr="00DE6295">
        <w:rPr>
          <w:rFonts w:cstheme="minorHAnsi"/>
          <w:i/>
          <w:color w:val="000000" w:themeColor="text1"/>
        </w:rPr>
        <w:t xml:space="preserve">Graf č. 2 - Počet projektů k 1. </w:t>
      </w:r>
      <w:r>
        <w:rPr>
          <w:rFonts w:cstheme="minorHAnsi"/>
          <w:i/>
          <w:color w:val="000000" w:themeColor="text1"/>
        </w:rPr>
        <w:t>7</w:t>
      </w:r>
      <w:r w:rsidRPr="00DE6295">
        <w:rPr>
          <w:rFonts w:cstheme="minorHAnsi"/>
          <w:i/>
          <w:color w:val="000000" w:themeColor="text1"/>
        </w:rPr>
        <w:t>. 2022</w:t>
      </w:r>
    </w:p>
    <w:p w:rsidR="000B1286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  <w:r w:rsidRPr="008A439A">
        <w:rPr>
          <w:rFonts w:cstheme="minorHAnsi"/>
          <w:i/>
          <w:noProof/>
          <w:color w:val="000000" w:themeColor="text1"/>
          <w:lang w:eastAsia="cs-CZ"/>
        </w:rPr>
        <w:drawing>
          <wp:inline distT="0" distB="0" distL="0" distR="0" wp14:anchorId="65FD774B" wp14:editId="47D65801">
            <wp:extent cx="5760720" cy="1581945"/>
            <wp:effectExtent l="0" t="0" r="0" b="0"/>
            <wp:docPr id="5" name="Obrázek 5" descr="C:\Nextcloud\Strategie\Projektové řízení\Kanboard\Reportování\vyhodnocení_RMČ\září 2022\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Nextcloud\Strategie\Projektové řízení\Kanboard\Reportování\vyhodnocení_RMČ\září 2022\graf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6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</w:p>
    <w:p w:rsidR="000B1286" w:rsidRPr="00DE6295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  <w:r w:rsidRPr="00DE6295">
        <w:rPr>
          <w:rFonts w:cstheme="minorHAnsi"/>
          <w:i/>
          <w:color w:val="000000" w:themeColor="text1"/>
        </w:rPr>
        <w:t>Graf č. 3 - Počet projektů k</w:t>
      </w:r>
      <w:r>
        <w:rPr>
          <w:rFonts w:cstheme="minorHAnsi"/>
          <w:i/>
          <w:color w:val="000000" w:themeColor="text1"/>
        </w:rPr>
        <w:t> </w:t>
      </w:r>
      <w:r w:rsidRPr="00DE6295">
        <w:rPr>
          <w:rFonts w:cstheme="minorHAnsi"/>
          <w:i/>
          <w:color w:val="000000" w:themeColor="text1"/>
        </w:rPr>
        <w:t>3</w:t>
      </w:r>
      <w:r>
        <w:rPr>
          <w:rFonts w:cstheme="minorHAnsi"/>
          <w:i/>
          <w:color w:val="000000" w:themeColor="text1"/>
        </w:rPr>
        <w:t>0. 9</w:t>
      </w:r>
      <w:r w:rsidRPr="00DE6295">
        <w:rPr>
          <w:rFonts w:cstheme="minorHAnsi"/>
          <w:i/>
          <w:color w:val="000000" w:themeColor="text1"/>
        </w:rPr>
        <w:t>. 2022</w:t>
      </w:r>
    </w:p>
    <w:p w:rsidR="000B1286" w:rsidRDefault="000B1286" w:rsidP="000B1286">
      <w:pPr>
        <w:rPr>
          <w:rFonts w:asciiTheme="majorHAnsi" w:hAnsiTheme="majorHAnsi" w:cstheme="majorHAnsi"/>
          <w:i/>
        </w:rPr>
      </w:pPr>
      <w:r w:rsidRPr="008A439A">
        <w:rPr>
          <w:rFonts w:asciiTheme="majorHAnsi" w:hAnsiTheme="majorHAnsi" w:cstheme="majorHAnsi"/>
          <w:i/>
          <w:noProof/>
          <w:lang w:eastAsia="cs-CZ"/>
        </w:rPr>
        <w:drawing>
          <wp:inline distT="0" distB="0" distL="0" distR="0" wp14:anchorId="04FAFD74" wp14:editId="2BD9EB83">
            <wp:extent cx="5760720" cy="1620139"/>
            <wp:effectExtent l="0" t="0" r="0" b="0"/>
            <wp:docPr id="6" name="Obrázek 6" descr="C:\Nextcloud\Strategie\Projektové řízení\Kanboard\Reportování\vyhodnocení_RMČ\září 2022\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Nextcloud\Strategie\Projektové řízení\Kanboard\Reportování\vyhodnocení_RMČ\září 2022\graf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6" w:rsidRPr="007416D1" w:rsidRDefault="000B1286" w:rsidP="000B1286">
      <w:pPr>
        <w:rPr>
          <w:rFonts w:asciiTheme="majorHAnsi" w:hAnsiTheme="majorHAnsi" w:cstheme="majorHAnsi"/>
          <w:i/>
        </w:rPr>
      </w:pPr>
    </w:p>
    <w:p w:rsidR="000B1286" w:rsidRDefault="000B1286" w:rsidP="000B1286">
      <w:pPr>
        <w:pStyle w:val="Nadpis1"/>
        <w:spacing w:before="0"/>
        <w:rPr>
          <w:color w:val="FFC000"/>
          <w:sz w:val="36"/>
          <w:szCs w:val="36"/>
        </w:rPr>
      </w:pPr>
      <w:bookmarkStart w:id="3" w:name="_Toc120087085"/>
      <w:r w:rsidRPr="00EF7DE6">
        <w:t>STAV</w:t>
      </w:r>
      <w:r w:rsidRPr="00BF31A9">
        <w:rPr>
          <w:color w:val="FFC000"/>
          <w:sz w:val="36"/>
          <w:szCs w:val="36"/>
        </w:rPr>
        <w:t xml:space="preserve"> </w:t>
      </w:r>
      <w:r w:rsidRPr="00EF7DE6">
        <w:t>PROJEKTŮ</w:t>
      </w:r>
      <w:bookmarkEnd w:id="3"/>
      <w:r w:rsidRPr="00BF31A9">
        <w:rPr>
          <w:color w:val="FFC000"/>
          <w:sz w:val="36"/>
          <w:szCs w:val="36"/>
        </w:rPr>
        <w:t xml:space="preserve"> </w:t>
      </w:r>
    </w:p>
    <w:p w:rsidR="000B1286" w:rsidRPr="0019288B" w:rsidRDefault="000B1286" w:rsidP="000B1286"/>
    <w:p w:rsidR="000B1286" w:rsidRDefault="000B1286" w:rsidP="000B1286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Graf č. 4 znázorňuje konkrétní stav projektů k 30. 6. 2022. </w:t>
      </w:r>
      <w:r w:rsidRPr="003224EE">
        <w:rPr>
          <w:rFonts w:cstheme="minorHAnsi"/>
        </w:rPr>
        <w:t xml:space="preserve">Celkem </w:t>
      </w:r>
      <w:r>
        <w:rPr>
          <w:rFonts w:cstheme="minorHAnsi"/>
          <w:b/>
          <w:bCs/>
          <w:color w:val="70AD47" w:themeColor="accent6"/>
        </w:rPr>
        <w:t>124</w:t>
      </w:r>
      <w:r w:rsidRPr="003224EE">
        <w:rPr>
          <w:rFonts w:cstheme="minorHAnsi"/>
          <w:b/>
          <w:bCs/>
          <w:color w:val="70AD47" w:themeColor="accent6"/>
        </w:rPr>
        <w:t xml:space="preserve"> projektů je </w:t>
      </w:r>
      <w:r>
        <w:rPr>
          <w:rFonts w:cstheme="minorHAnsi"/>
          <w:b/>
          <w:bCs/>
          <w:color w:val="70AD47" w:themeColor="accent6"/>
        </w:rPr>
        <w:t>řízeno bez problémů,</w:t>
      </w:r>
      <w:r w:rsidRPr="003224EE">
        <w:rPr>
          <w:rFonts w:cstheme="minorHAnsi"/>
        </w:rPr>
        <w:t xml:space="preserve"> </w:t>
      </w:r>
      <w:r>
        <w:rPr>
          <w:rFonts w:cstheme="minorHAnsi"/>
          <w:b/>
          <w:bCs/>
          <w:color w:val="ED7D31" w:themeColor="accent2"/>
        </w:rPr>
        <w:t>16</w:t>
      </w:r>
      <w:r w:rsidRPr="003224EE">
        <w:rPr>
          <w:rFonts w:cstheme="minorHAnsi"/>
          <w:b/>
          <w:bCs/>
          <w:color w:val="ED7D31" w:themeColor="accent2"/>
        </w:rPr>
        <w:t xml:space="preserve"> projektů čelí menším problémům</w:t>
      </w:r>
      <w:r w:rsidRPr="003224EE">
        <w:rPr>
          <w:rFonts w:cstheme="minorHAnsi"/>
        </w:rPr>
        <w:t>, kte</w:t>
      </w:r>
      <w:r>
        <w:rPr>
          <w:rFonts w:cstheme="minorHAnsi"/>
        </w:rPr>
        <w:t xml:space="preserve">ré neohrozí dokončení projektu, </w:t>
      </w:r>
      <w:r>
        <w:rPr>
          <w:rFonts w:cstheme="minorHAnsi"/>
          <w:b/>
          <w:bCs/>
          <w:color w:val="C00000"/>
        </w:rPr>
        <w:t>1 projekt</w:t>
      </w:r>
      <w:r w:rsidRPr="003224EE">
        <w:rPr>
          <w:rFonts w:cstheme="minorHAnsi"/>
          <w:b/>
          <w:bCs/>
          <w:color w:val="C00000"/>
        </w:rPr>
        <w:t xml:space="preserve"> čelí </w:t>
      </w:r>
      <w:r>
        <w:rPr>
          <w:rFonts w:cstheme="minorHAnsi"/>
          <w:b/>
          <w:bCs/>
          <w:color w:val="C00000"/>
        </w:rPr>
        <w:t>větším</w:t>
      </w:r>
      <w:r w:rsidRPr="003224EE">
        <w:rPr>
          <w:rFonts w:cstheme="minorHAnsi"/>
          <w:b/>
          <w:bCs/>
          <w:color w:val="C00000"/>
        </w:rPr>
        <w:t xml:space="preserve"> problémům</w:t>
      </w:r>
      <w:r>
        <w:rPr>
          <w:rFonts w:cstheme="minorHAnsi"/>
          <w:color w:val="C00000"/>
        </w:rPr>
        <w:t xml:space="preserve"> </w:t>
      </w:r>
      <w:r w:rsidRPr="00CD4530">
        <w:rPr>
          <w:rFonts w:cstheme="minorHAnsi"/>
        </w:rPr>
        <w:t>a jedná se o projekt</w:t>
      </w:r>
      <w:r>
        <w:rPr>
          <w:rFonts w:cstheme="minorHAnsi"/>
        </w:rPr>
        <w:t xml:space="preserve"> „</w:t>
      </w:r>
      <w:r w:rsidRPr="00CD4530">
        <w:rPr>
          <w:rFonts w:cstheme="minorHAnsi"/>
        </w:rPr>
        <w:t>Celková obnova vily Karla Čapka a zpřístupnění veřejnosti</w:t>
      </w:r>
      <w:r>
        <w:rPr>
          <w:rFonts w:cstheme="minorHAnsi"/>
        </w:rPr>
        <w:t>“</w:t>
      </w:r>
      <w:r w:rsidRPr="00CD4530">
        <w:rPr>
          <w:rFonts w:cstheme="minorHAnsi"/>
        </w:rPr>
        <w:t>.</w:t>
      </w:r>
    </w:p>
    <w:p w:rsidR="000B1286" w:rsidRPr="007416D1" w:rsidRDefault="000B1286" w:rsidP="000B1286">
      <w:pPr>
        <w:spacing w:line="276" w:lineRule="auto"/>
        <w:rPr>
          <w:rFonts w:cstheme="minorHAnsi"/>
        </w:rPr>
      </w:pPr>
    </w:p>
    <w:p w:rsidR="000B1286" w:rsidRDefault="000B1286" w:rsidP="000B1286">
      <w:pPr>
        <w:spacing w:line="276" w:lineRule="auto"/>
        <w:jc w:val="left"/>
        <w:rPr>
          <w:i/>
        </w:rPr>
      </w:pPr>
      <w:r w:rsidRPr="008C74F9">
        <w:rPr>
          <w:i/>
        </w:rPr>
        <w:t>Graf č. 4 – Aktuální stav projektů</w:t>
      </w:r>
      <w:r>
        <w:rPr>
          <w:noProof/>
          <w:lang w:eastAsia="cs-CZ"/>
        </w:rPr>
        <w:drawing>
          <wp:inline distT="0" distB="0" distL="0" distR="0" wp14:anchorId="622CC60C" wp14:editId="6007E271">
            <wp:extent cx="5760720" cy="852985"/>
            <wp:effectExtent l="0" t="0" r="11430" b="444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4" w:name="_Toc120087086"/>
    </w:p>
    <w:p w:rsidR="000B1286" w:rsidRDefault="000B1286" w:rsidP="000B1286">
      <w:pPr>
        <w:spacing w:line="276" w:lineRule="auto"/>
        <w:rPr>
          <w:i/>
        </w:rPr>
      </w:pPr>
    </w:p>
    <w:p w:rsidR="000B1286" w:rsidRDefault="000B1286" w:rsidP="000B1286">
      <w:pPr>
        <w:pStyle w:val="Nadpis1"/>
      </w:pPr>
      <w:r>
        <w:lastRenderedPageBreak/>
        <w:t>ŘÍZENÍ PROJEKTŮ ODBORY ÚMČ PRAHA 10</w:t>
      </w:r>
      <w:bookmarkEnd w:id="4"/>
    </w:p>
    <w:p w:rsidR="000B1286" w:rsidRDefault="000B1286" w:rsidP="000B1286"/>
    <w:p w:rsidR="000B1286" w:rsidRDefault="000B1286" w:rsidP="000B1286">
      <w:pPr>
        <w:spacing w:line="276" w:lineRule="auto"/>
      </w:pPr>
      <w:r>
        <w:t>V grafu č. 5 je u každého odboru ÚMČ Praha 10 (1 projekt řídí příspěvková organizace Školní jídelna Praha 10) označen modrou barvou celkový počet projektů (spodní číslo) a červenou barvou počet dokončených projektů z celkové hodnoty (spodní číslo). Většina projektů je dlouhodobých, proto nejsou během jednoho roku dokončeny a jejich realizace může trvat delší období nebo jsou to každoročně opakující projekty/akce, viz Odbor sociální - v jednom roce jsou všechny zrealizovány a v dalším roce jsou opět zahájeny.</w:t>
      </w:r>
    </w:p>
    <w:p w:rsidR="000B1286" w:rsidRDefault="000B1286" w:rsidP="000B1286"/>
    <w:p w:rsidR="000B1286" w:rsidRDefault="000B1286" w:rsidP="000B1286">
      <w:pPr>
        <w:rPr>
          <w:i/>
        </w:rPr>
      </w:pPr>
      <w:r w:rsidRPr="0071483C">
        <w:rPr>
          <w:i/>
        </w:rPr>
        <w:t xml:space="preserve">Graf č. 5 – Řízení projektů odbory úřadu </w:t>
      </w:r>
      <w:r>
        <w:rPr>
          <w:i/>
        </w:rPr>
        <w:t>a příspěvkovou organizací</w:t>
      </w:r>
    </w:p>
    <w:p w:rsidR="00866CB7" w:rsidRPr="0071483C" w:rsidRDefault="00866CB7" w:rsidP="000B1286">
      <w:pPr>
        <w:rPr>
          <w:i/>
        </w:rPr>
      </w:pPr>
    </w:p>
    <w:p w:rsidR="000B1286" w:rsidRPr="00BF31A9" w:rsidRDefault="000B1286" w:rsidP="000B1286">
      <w:pPr>
        <w:jc w:val="center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inline distT="0" distB="0" distL="0" distR="0" wp14:anchorId="7B90C0FA" wp14:editId="7B483898">
            <wp:extent cx="5705475" cy="4128448"/>
            <wp:effectExtent l="0" t="0" r="9525" b="571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1286" w:rsidRDefault="000B1286" w:rsidP="000B1286">
      <w:pPr>
        <w:rPr>
          <w:rFonts w:asciiTheme="majorHAnsi" w:hAnsiTheme="majorHAnsi" w:cstheme="majorHAnsi"/>
        </w:rPr>
      </w:pPr>
    </w:p>
    <w:p w:rsidR="00866CB7" w:rsidRDefault="00866CB7" w:rsidP="000B1286">
      <w:pPr>
        <w:spacing w:line="276" w:lineRule="auto"/>
      </w:pPr>
    </w:p>
    <w:p w:rsidR="000B1286" w:rsidRDefault="000B1286" w:rsidP="000B1286">
      <w:pPr>
        <w:spacing w:line="276" w:lineRule="auto"/>
      </w:pPr>
      <w:r w:rsidRPr="0046624A">
        <w:t xml:space="preserve">Projekty řídí </w:t>
      </w:r>
      <w:r>
        <w:t>okolo 50</w:t>
      </w:r>
      <w:r w:rsidRPr="0046624A">
        <w:t xml:space="preserve"> zaměstnanců, kteří jsou jednou ročně proškoleni pro práci v programu </w:t>
      </w:r>
      <w:proofErr w:type="spellStart"/>
      <w:r w:rsidRPr="0046624A">
        <w:t>Kanboard</w:t>
      </w:r>
      <w:proofErr w:type="spellEnd"/>
      <w:r w:rsidRPr="0046624A">
        <w:t>. Na podzim 2021 bylo tak proškoleno 45 zaměstnanců. V průběhu roku se mohou kdykoliv obrátit na oddělení strategického rozvoje a participace, Kancelář starostky, které má projektové řízení na starosti.</w:t>
      </w:r>
      <w:bookmarkStart w:id="5" w:name="_Toc120087087"/>
    </w:p>
    <w:p w:rsidR="000B1286" w:rsidRDefault="000B1286" w:rsidP="000B1286">
      <w:pPr>
        <w:spacing w:line="276" w:lineRule="auto"/>
      </w:pPr>
    </w:p>
    <w:p w:rsidR="000B1286" w:rsidRDefault="000B1286" w:rsidP="000B1286">
      <w:pPr>
        <w:pStyle w:val="Nadpis1"/>
        <w:spacing w:before="0"/>
        <w:rPr>
          <w:caps/>
        </w:rPr>
      </w:pPr>
    </w:p>
    <w:p w:rsidR="000B1286" w:rsidRDefault="000B1286" w:rsidP="000B1286"/>
    <w:p w:rsidR="000B1286" w:rsidRPr="00B64E60" w:rsidRDefault="000B1286" w:rsidP="000B1286">
      <w:pPr>
        <w:pStyle w:val="Nadpis1"/>
        <w:spacing w:before="0"/>
        <w:rPr>
          <w:caps/>
        </w:rPr>
      </w:pPr>
      <w:r w:rsidRPr="00B64E60">
        <w:rPr>
          <w:caps/>
        </w:rPr>
        <w:lastRenderedPageBreak/>
        <w:t>Přehled počtu projektů naplňující</w:t>
      </w:r>
      <w:r>
        <w:rPr>
          <w:caps/>
        </w:rPr>
        <w:t>CH</w:t>
      </w:r>
      <w:r w:rsidRPr="00B64E60">
        <w:rPr>
          <w:caps/>
        </w:rPr>
        <w:t xml:space="preserve"> opatření strategického plánu</w:t>
      </w:r>
      <w:bookmarkEnd w:id="5"/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8"/>
        <w:gridCol w:w="993"/>
      </w:tblGrid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opatření a název opatření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projektů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1.1.1 Transparentní radnice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1.1.2 Aktivní zapojení obyvatel do veřejného života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1.1.3 Postupné zlepšování řízení úřadu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1.1.4 Spokojený zaměstnanec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vstřícné radnice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1.2.1 Hospodárné nakládání s majetkem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1.2.2 Efektivní a účelné spravování financí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1.2.3 Budova úřadu odpovídající 21. století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2.1.1 Zvyšovat kvalitu veřejné zeleně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2.1.2 Udržovat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čistotu veřejných prostranství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2.1.3 Šetrné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nakládání s přírodními zdroji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2.2.1 Podporovat a rozšiřovat dobrovolnické aktivity v péči o životní prostředí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2.2.2 Podporovat a realizovat osvětu o životním prostředí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3.1.1 Energeticky efektivní správa budov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3.1.2 Prosazovat společenskou odpovědnost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při nákupech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3.2.1 Snižovat produkci odpadů a podporovat jejich další využití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3.2.2 Informovat a vzdělávat veřejnost o nakládání s odpady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4.1.1 Aktivně se podílet na plánování rozvoje městské hromadné dopravy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4.2.1 Utvářet kvalitní systém parkování sloužící obyvatelům Prahy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4.2.2 Prosazovat úpravy dopravně nebezpečných a rizikových míst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4.2.3 Podporovat alternativní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druhy dopravy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4.3.1 Vytvářet bezpečný a příjemný prostor pro pohyb pěších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4.3.2 Informovat a vzdělávat veřejnost v oblasti udržitelné mobility a bezpečnosti v dopravě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5.1.1 Spolupracovat s lékaři a dalšími organizacemi v oblasti zdraví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5.2.1 Využívat, modernizovat a udržovat sportoviště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5.2.2 Vytvářet podmínky pro aktivní spolupráci a podporu klubů, spolků v oblasti sportu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6.1.1 Vytvořit funkční systém spolupráce mezi radnicí a podnikateli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6.1.2 Podporovat oboustranně prospěšnou spolupráci mezi městskou částí a podnikateli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7.1.1 Rozšiřování kapacit mateřských a základních škol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7.1.2 Oprava a modernizace stávajících mateřských a základních škol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7.1.3 Podpora učitelů a dalších pracovníků ve školství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7.1.4 Kvalitní školní stravování s odpovídajícím zázemím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7.2.1 Rozvoj žáků ve všech oblastech, podpora rovných příležitostí a inovativní vzdělávání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7.2.2 Školy jako lokální kulturně-vzdělávací centra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7.2.3, Spolupráce mezi všemi školami na území Prahy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8.1.1 Zajistit kvalitní podmínky pro rozvoj kulturních, komunitních a společenských aktivit obyvatel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8.1.2 Systémová podpora rozvoje kultury v Praze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8.2.1 Podporovat informovanost o významných osobnostech, historii a památných místech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8.2.2 Podporovat kulturu na celém území Prahy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8.3.1 Podporovat volnočasové aktivity pro širokou veřejnost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8.3.2 Zvyšovat společenskou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prestiž volnočasových organizací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8.4.1 Představovat památkově hodnotné objekty a lokality na území městské části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8.4.2 Motivovat majitele památkově hodnotných objektů k citlivému přístupu při jejich užívání a obnově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9.1.1 Komunitní plánování sociálních a návazných služeb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9.1.2 Financování sociální péče a služeb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9.1.3 Informovanost o sociální péči a službách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9.2.1 Zajišťovat pravidelné sdílení informací o problematických místech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9.2.2 Spolupracovat na šíření osvěty v oblasti bezpečnosti a dbát na prevenci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9.2.3 Podporovat složky Integrovaného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záchranného systému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9.3.1 Systémově reagovat na potřeby rodin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9.4.1 Systémově reagovat na potřeby v oblasti bydlení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9.4.2 Zajišťování oprav bytového fondu ve správě MČ Praha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9.4.3 Vytvořit podmínky pro městskou bytovou výstavbu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10.1.1 Oboustranně prospěšná mezinárodní i lokální spolupráce v tématu udržitelného rozvoje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10.2.1 Podporovat a realizovat opatření ke zmírnění a dopadům změny klimatu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11.1.1 Kvalitní tým plánující rozvoj městské části Praha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11.1.2 Tvorba a důsledné používání podrobnějších plánovacích nástrojů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11.1.3 Posilovat sounáležitost obyvatel s veřejným prostorem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11.2.1 Aktivní přístup ke koordinaci záměrů v území s městskými a státními organizacemi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11.2.2 Zlepšování koordinace záměrů v území se soukromými investory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0B1286" w:rsidRDefault="000B1286" w:rsidP="000B1286">
      <w:pPr>
        <w:pStyle w:val="Nadpis1"/>
        <w:spacing w:before="0" w:line="276" w:lineRule="auto"/>
      </w:pPr>
      <w:bookmarkStart w:id="6" w:name="_Toc120087088"/>
    </w:p>
    <w:p w:rsidR="000B1286" w:rsidRDefault="000B1286" w:rsidP="000B1286">
      <w:pPr>
        <w:pStyle w:val="Nadpis1"/>
        <w:spacing w:before="0" w:line="276" w:lineRule="auto"/>
      </w:pPr>
      <w:r>
        <w:t>SHRNUTÍ</w:t>
      </w:r>
      <w:bookmarkEnd w:id="6"/>
    </w:p>
    <w:p w:rsidR="000B1286" w:rsidRDefault="000B1286" w:rsidP="000B1286">
      <w:pPr>
        <w:spacing w:line="276" w:lineRule="auto"/>
      </w:pPr>
    </w:p>
    <w:p w:rsidR="000B1286" w:rsidRDefault="000B1286" w:rsidP="000B1286">
      <w:pPr>
        <w:spacing w:line="276" w:lineRule="auto"/>
      </w:pPr>
      <w:r>
        <w:t>Během jednoho roku při zavádění projektového řízení bylo nutno nastavit systém pro řízení projektů</w:t>
      </w:r>
      <w:r w:rsidRPr="00703508">
        <w:t xml:space="preserve"> </w:t>
      </w:r>
      <w:r>
        <w:t xml:space="preserve">v programu </w:t>
      </w:r>
      <w:proofErr w:type="spellStart"/>
      <w:r>
        <w:t>Kanboard</w:t>
      </w:r>
      <w:proofErr w:type="spellEnd"/>
      <w:r>
        <w:t xml:space="preserve"> a vyškolit okolo 50 pracovníků, kteří řídí projekty převážně Akčního plánu. Na podzim minulého roku došlo ke sjednocení způsobu vedení projektů mezi všemi uživateli. Výhodou projektového řízení v programu </w:t>
      </w:r>
      <w:proofErr w:type="spellStart"/>
      <w:r>
        <w:t>Kanboard</w:t>
      </w:r>
      <w:proofErr w:type="spellEnd"/>
      <w:r>
        <w:t xml:space="preserve"> je jeho přehlednost, jednoduchost, soustředění projektů Akčního plánu na jedno místo a sledování jejich realizace. </w:t>
      </w:r>
    </w:p>
    <w:p w:rsidR="000B1286" w:rsidRDefault="000B1286" w:rsidP="000B1286">
      <w:pPr>
        <w:spacing w:line="276" w:lineRule="auto"/>
      </w:pPr>
      <w:r>
        <w:t xml:space="preserve">V programu </w:t>
      </w:r>
      <w:proofErr w:type="spellStart"/>
      <w:r>
        <w:t>Kanboard</w:t>
      </w:r>
      <w:proofErr w:type="spellEnd"/>
      <w:r>
        <w:t xml:space="preserve"> jsou vedeny i audity udržitelného rozvoje pro kategorii B místní Agendy 21, indikátory strategického plánu, audity udržitelného rozvoje a návody pro práci v </w:t>
      </w:r>
      <w:proofErr w:type="spellStart"/>
      <w:r>
        <w:t>Kanboardu</w:t>
      </w:r>
      <w:proofErr w:type="spellEnd"/>
      <w:r>
        <w:t xml:space="preserve">, které přizpůsobujeme aktuálním potřebám. Dle potřeby je možno </w:t>
      </w:r>
      <w:proofErr w:type="spellStart"/>
      <w:r>
        <w:t>Kanboard</w:t>
      </w:r>
      <w:proofErr w:type="spellEnd"/>
      <w:r>
        <w:t xml:space="preserve"> využívat i pro řízení úkolů odborů nebo oddělení a sledování jejich plnění.</w:t>
      </w:r>
    </w:p>
    <w:p w:rsidR="000B1286" w:rsidRDefault="000B1286" w:rsidP="000B1286">
      <w:pPr>
        <w:spacing w:line="276" w:lineRule="auto"/>
        <w:rPr>
          <w:b/>
        </w:rPr>
      </w:pPr>
    </w:p>
    <w:p w:rsidR="00025CC1" w:rsidRPr="000B1286" w:rsidRDefault="000B1286" w:rsidP="000B1286">
      <w:pPr>
        <w:spacing w:line="276" w:lineRule="auto"/>
      </w:pPr>
      <w:r w:rsidRPr="00AC43D3">
        <w:rPr>
          <w:b/>
        </w:rPr>
        <w:t xml:space="preserve">Všechny projekty jsou uvedeny na odkazu </w:t>
      </w:r>
      <w:hyperlink r:id="rId14" w:history="1">
        <w:r w:rsidRPr="00866CB7">
          <w:rPr>
            <w:rStyle w:val="Hypertextovodkaz"/>
            <w:b/>
          </w:rPr>
          <w:t>Z</w:t>
        </w:r>
        <w:r w:rsidRPr="00866CB7">
          <w:rPr>
            <w:rStyle w:val="Hypertextovodkaz"/>
            <w:b/>
          </w:rPr>
          <w:t>D</w:t>
        </w:r>
        <w:r w:rsidRPr="00866CB7">
          <w:rPr>
            <w:rStyle w:val="Hypertextovodkaz"/>
            <w:b/>
          </w:rPr>
          <w:t>E</w:t>
        </w:r>
      </w:hyperlink>
      <w:r w:rsidR="00866CB7">
        <w:rPr>
          <w:rStyle w:val="Hypertextovodkaz"/>
          <w:b/>
        </w:rPr>
        <w:t>.</w:t>
      </w:r>
      <w:r>
        <w:tab/>
      </w:r>
    </w:p>
    <w:sectPr w:rsidR="00025CC1" w:rsidRPr="000B128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D3" w:rsidRDefault="008F3AD3" w:rsidP="000B1286">
      <w:r>
        <w:separator/>
      </w:r>
    </w:p>
  </w:endnote>
  <w:endnote w:type="continuationSeparator" w:id="0">
    <w:p w:rsidR="008F3AD3" w:rsidRDefault="008F3AD3" w:rsidP="000B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92914"/>
      <w:docPartObj>
        <w:docPartGallery w:val="Page Numbers (Bottom of Page)"/>
        <w:docPartUnique/>
      </w:docPartObj>
    </w:sdtPr>
    <w:sdtEndPr/>
    <w:sdtContent>
      <w:sdt>
        <w:sdtPr>
          <w:id w:val="-516701705"/>
          <w:docPartObj>
            <w:docPartGallery w:val="Page Numbers (Top of Page)"/>
            <w:docPartUnique/>
          </w:docPartObj>
        </w:sdtPr>
        <w:sdtEndPr/>
        <w:sdtContent>
          <w:p w:rsidR="00485511" w:rsidRPr="00485511" w:rsidRDefault="008F3AD3" w:rsidP="00011B05">
            <w:pPr>
              <w:pStyle w:val="Zpat"/>
              <w:jc w:val="center"/>
            </w:pPr>
            <w:r>
              <w:t xml:space="preserve">                                   </w:t>
            </w:r>
            <w:r>
              <w:t xml:space="preserve">                                                                            </w:t>
            </w:r>
            <w:r>
              <w:tab/>
            </w:r>
            <w:r>
              <w:t xml:space="preserve"> </w:t>
            </w:r>
            <w:proofErr w:type="gramStart"/>
            <w:r>
              <w:t>s</w:t>
            </w:r>
            <w:r w:rsidRPr="00485511">
              <w:t xml:space="preserve">tránka </w:t>
            </w:r>
            <w:proofErr w:type="gramEnd"/>
            <w:r w:rsidRPr="00485511">
              <w:rPr>
                <w:bCs/>
                <w:szCs w:val="24"/>
              </w:rPr>
              <w:fldChar w:fldCharType="begin"/>
            </w:r>
            <w:r w:rsidRPr="00485511">
              <w:rPr>
                <w:bCs/>
              </w:rPr>
              <w:instrText>PAGE</w:instrText>
            </w:r>
            <w:r w:rsidRPr="00485511">
              <w:rPr>
                <w:bCs/>
                <w:szCs w:val="24"/>
              </w:rPr>
              <w:fldChar w:fldCharType="separate"/>
            </w:r>
            <w:r w:rsidR="00866CB7">
              <w:rPr>
                <w:bCs/>
                <w:noProof/>
              </w:rPr>
              <w:t>6</w:t>
            </w:r>
            <w:r w:rsidRPr="00485511">
              <w:rPr>
                <w:bCs/>
                <w:szCs w:val="24"/>
              </w:rPr>
              <w:fldChar w:fldCharType="end"/>
            </w:r>
            <w:proofErr w:type="gramStart"/>
            <w:r w:rsidRPr="00485511">
              <w:t xml:space="preserve"> z </w:t>
            </w:r>
            <w:proofErr w:type="gramEnd"/>
            <w:r w:rsidRPr="00485511">
              <w:rPr>
                <w:bCs/>
                <w:szCs w:val="24"/>
              </w:rPr>
              <w:fldChar w:fldCharType="begin"/>
            </w:r>
            <w:r w:rsidRPr="00485511">
              <w:rPr>
                <w:bCs/>
              </w:rPr>
              <w:instrText>NUMPAGES</w:instrText>
            </w:r>
            <w:r w:rsidRPr="00485511">
              <w:rPr>
                <w:bCs/>
                <w:szCs w:val="24"/>
              </w:rPr>
              <w:fldChar w:fldCharType="separate"/>
            </w:r>
            <w:r w:rsidR="00866CB7">
              <w:rPr>
                <w:bCs/>
                <w:noProof/>
              </w:rPr>
              <w:t>6</w:t>
            </w:r>
            <w:r w:rsidRPr="00485511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485511" w:rsidRDefault="008F3A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D3" w:rsidRDefault="008F3AD3" w:rsidP="000B1286">
      <w:r>
        <w:separator/>
      </w:r>
    </w:p>
  </w:footnote>
  <w:footnote w:type="continuationSeparator" w:id="0">
    <w:p w:rsidR="008F3AD3" w:rsidRDefault="008F3AD3" w:rsidP="000B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B7" w:rsidRDefault="00866CB7">
    <w:pPr>
      <w:pStyle w:val="Zhlav"/>
    </w:pPr>
    <w:r>
      <w:tab/>
    </w:r>
    <w:r>
      <w:tab/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6"/>
    <w:rsid w:val="00025CC1"/>
    <w:rsid w:val="000B1286"/>
    <w:rsid w:val="00866CB7"/>
    <w:rsid w:val="008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5F1B-EEEA-48C6-BF32-5377E52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286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1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128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28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1286"/>
    <w:rPr>
      <w:rFonts w:asciiTheme="majorHAnsi" w:eastAsiaTheme="majorEastAsia" w:hAnsiTheme="majorHAnsi" w:cstheme="majorBidi"/>
      <w:b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0B128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B1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286"/>
    <w:rPr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B1286"/>
    <w:pPr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1286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0B1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286"/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66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ieprodesitku.cz/blog/akcni-plan-2022/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rategieprodesitku.cz/blog/akcni-plan-2021/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trategieprodesitku.cz/projekty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hyperlink" Target="https://projekty.strategieprodesitku.cz/board/7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Kanboard\Reportov&#225;n&#237;\vyhodnocen&#237;_RM&#268;\z&#225;&#345;&#237;%202022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2_Kanboard\Reportov&#225;n&#237;\vyhodnocen&#237;_RM&#268;\z&#225;&#345;&#237;%202022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Kanboard\Reportov&#225;n&#237;\vyhodnocen&#237;_RM&#268;\z&#225;&#345;&#237;%202022\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b="1" i="0" baseline="0">
                <a:effectLst/>
                <a:latin typeface="+mn-lt"/>
                <a:cs typeface="Times New Roman" panose="02020603050405020304" pitchFamily="18" charset="0"/>
              </a:rPr>
              <a:t>Vývoj řízení projektů </a:t>
            </a:r>
            <a:endParaRPr lang="cs-CZ" sz="1100">
              <a:effectLst/>
              <a:latin typeface="+mn-lt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cs-CZ" sz="1100" b="1" i="0" baseline="0">
                <a:effectLst/>
                <a:latin typeface="+mn-lt"/>
                <a:cs typeface="Times New Roman" panose="02020603050405020304" pitchFamily="18" charset="0"/>
              </a:rPr>
              <a:t>od 24.11.2020 do 30.09.2022</a:t>
            </a:r>
            <a:endParaRPr lang="cs-CZ" sz="1100">
              <a:effectLst/>
              <a:latin typeface="+mn-lt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'!$B$49</c:f>
              <c:strCache>
                <c:ptCount val="1"/>
                <c:pt idx="0">
                  <c:v>nevyřízené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'!$A$50:$A$56</c:f>
              <c:numCache>
                <c:formatCode>m/d/yyyy</c:formatCode>
                <c:ptCount val="7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</c:numCache>
            </c:numRef>
          </c:cat>
          <c:val>
            <c:numRef>
              <c:f>'grafy '!$B$50:$B$56</c:f>
              <c:numCache>
                <c:formatCode>General</c:formatCode>
                <c:ptCount val="7"/>
                <c:pt idx="0">
                  <c:v>0</c:v>
                </c:pt>
                <c:pt idx="1">
                  <c:v>93</c:v>
                </c:pt>
                <c:pt idx="2">
                  <c:v>13</c:v>
                </c:pt>
                <c:pt idx="3">
                  <c:v>6</c:v>
                </c:pt>
                <c:pt idx="4">
                  <c:v>11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'grafy '!$C$49</c:f>
              <c:strCache>
                <c:ptCount val="1"/>
                <c:pt idx="0">
                  <c:v>v přípravě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'!$A$50:$A$56</c:f>
              <c:numCache>
                <c:formatCode>m/d/yyyy</c:formatCode>
                <c:ptCount val="7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</c:numCache>
            </c:numRef>
          </c:cat>
          <c:val>
            <c:numRef>
              <c:f>'grafy '!$C$50:$C$56</c:f>
              <c:numCache>
                <c:formatCode>General</c:formatCode>
                <c:ptCount val="7"/>
                <c:pt idx="0">
                  <c:v>16</c:v>
                </c:pt>
                <c:pt idx="1">
                  <c:v>44</c:v>
                </c:pt>
                <c:pt idx="2">
                  <c:v>61</c:v>
                </c:pt>
                <c:pt idx="3">
                  <c:v>33</c:v>
                </c:pt>
                <c:pt idx="4">
                  <c:v>46</c:v>
                </c:pt>
                <c:pt idx="5">
                  <c:v>40</c:v>
                </c:pt>
                <c:pt idx="6">
                  <c:v>38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'grafy '!$D$49</c:f>
              <c:strCache>
                <c:ptCount val="1"/>
                <c:pt idx="0">
                  <c:v>realizuje se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'!$A$50:$A$56</c:f>
              <c:numCache>
                <c:formatCode>m/d/yyyy</c:formatCode>
                <c:ptCount val="7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</c:numCache>
            </c:numRef>
          </c:cat>
          <c:val>
            <c:numRef>
              <c:f>'grafy '!$D$50:$D$56</c:f>
              <c:numCache>
                <c:formatCode>General</c:formatCode>
                <c:ptCount val="7"/>
                <c:pt idx="0">
                  <c:v>8</c:v>
                </c:pt>
                <c:pt idx="1">
                  <c:v>17</c:v>
                </c:pt>
                <c:pt idx="2">
                  <c:v>79</c:v>
                </c:pt>
                <c:pt idx="3">
                  <c:v>85</c:v>
                </c:pt>
                <c:pt idx="4">
                  <c:v>98</c:v>
                </c:pt>
                <c:pt idx="5">
                  <c:v>98</c:v>
                </c:pt>
                <c:pt idx="6">
                  <c:v>101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'grafy '!$E$49</c:f>
              <c:strCache>
                <c:ptCount val="1"/>
                <c:pt idx="0">
                  <c:v>dokončeno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'!$A$50:$A$56</c:f>
              <c:numCache>
                <c:formatCode>m/d/yyyy</c:formatCode>
                <c:ptCount val="7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</c:numCache>
            </c:numRef>
          </c:cat>
          <c:val>
            <c:numRef>
              <c:f>'grafy '!$E$50:$E$56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31</c:v>
                </c:pt>
                <c:pt idx="3">
                  <c:v>59</c:v>
                </c:pt>
                <c:pt idx="4">
                  <c:v>55</c:v>
                </c:pt>
                <c:pt idx="5">
                  <c:v>66</c:v>
                </c:pt>
                <c:pt idx="6">
                  <c:v>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5309280"/>
        <c:axId val="635306536"/>
      </c:lineChart>
      <c:dateAx>
        <c:axId val="6353092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35306536"/>
        <c:crosses val="autoZero"/>
        <c:auto val="1"/>
        <c:lblOffset val="100"/>
        <c:baseTimeUnit val="months"/>
      </c:dateAx>
      <c:valAx>
        <c:axId val="635306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3530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'grafy '!$A$1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'!$B$1</c:f>
              <c:numCache>
                <c:formatCode>General</c:formatCode>
                <c:ptCount val="1"/>
              </c:numCache>
            </c:numRef>
          </c:val>
        </c:ser>
        <c:ser>
          <c:idx val="2"/>
          <c:order val="1"/>
          <c:tx>
            <c:strRef>
              <c:f>'grafy '!$A$3</c:f>
              <c:strCache>
                <c:ptCount val="1"/>
                <c:pt idx="0">
                  <c:v>červená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2"/>
          <c:tx>
            <c:strRef>
              <c:f>'grafy '!$A$2</c:f>
              <c:strCache>
                <c:ptCount val="1"/>
                <c:pt idx="0">
                  <c:v>oranžová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'grafy '!$A$4</c:f>
              <c:strCache>
                <c:ptCount val="1"/>
                <c:pt idx="0">
                  <c:v>zelená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'!$B$4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5309672"/>
        <c:axId val="635313200"/>
      </c:barChart>
      <c:catAx>
        <c:axId val="635309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35313200"/>
        <c:crosses val="autoZero"/>
        <c:auto val="1"/>
        <c:lblAlgn val="ctr"/>
        <c:lblOffset val="100"/>
        <c:noMultiLvlLbl val="0"/>
      </c:catAx>
      <c:valAx>
        <c:axId val="635313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35309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b="1"/>
              <a:t>Stav řízení projektů odbory úřadu a příspěvkovou organizací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'grafy '!$B$13</c:f>
              <c:strCache>
                <c:ptCount val="1"/>
                <c:pt idx="0">
                  <c:v>Realizováno / V přípravě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'!$A$14:$A$26</c:f>
              <c:strCache>
                <c:ptCount val="13"/>
                <c:pt idx="0">
                  <c:v>KHA</c:v>
                </c:pt>
                <c:pt idx="1">
                  <c:v>KS</c:v>
                </c:pt>
                <c:pt idx="2">
                  <c:v>KT</c:v>
                </c:pt>
                <c:pt idx="3">
                  <c:v>OBN</c:v>
                </c:pt>
                <c:pt idx="4">
                  <c:v>ODO</c:v>
                </c:pt>
                <c:pt idx="5">
                  <c:v>OHS</c:v>
                </c:pt>
                <c:pt idx="6">
                  <c:v>OKK</c:v>
                </c:pt>
                <c:pt idx="7">
                  <c:v>OKP</c:v>
                </c:pt>
                <c:pt idx="8">
                  <c:v>OMP</c:v>
                </c:pt>
                <c:pt idx="9">
                  <c:v>OSO</c:v>
                </c:pt>
                <c:pt idx="10">
                  <c:v>OŠK</c:v>
                </c:pt>
                <c:pt idx="11">
                  <c:v>OŽP</c:v>
                </c:pt>
                <c:pt idx="12">
                  <c:v>Školní jídelna Praha 10, p.o.</c:v>
                </c:pt>
              </c:strCache>
            </c:strRef>
          </c:cat>
          <c:val>
            <c:numRef>
              <c:f>'grafy '!$B$14:$B$26</c:f>
              <c:numCache>
                <c:formatCode>General</c:formatCode>
                <c:ptCount val="13"/>
                <c:pt idx="0">
                  <c:v>18</c:v>
                </c:pt>
                <c:pt idx="1">
                  <c:v>14</c:v>
                </c:pt>
                <c:pt idx="2">
                  <c:v>3</c:v>
                </c:pt>
                <c:pt idx="3">
                  <c:v>3</c:v>
                </c:pt>
                <c:pt idx="4">
                  <c:v>13</c:v>
                </c:pt>
                <c:pt idx="5">
                  <c:v>6</c:v>
                </c:pt>
                <c:pt idx="6">
                  <c:v>5</c:v>
                </c:pt>
                <c:pt idx="7">
                  <c:v>14</c:v>
                </c:pt>
                <c:pt idx="8">
                  <c:v>20</c:v>
                </c:pt>
                <c:pt idx="9">
                  <c:v>16</c:v>
                </c:pt>
                <c:pt idx="10">
                  <c:v>8</c:v>
                </c:pt>
                <c:pt idx="11">
                  <c:v>18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'grafy '!$C$13</c:f>
              <c:strCache>
                <c:ptCount val="1"/>
                <c:pt idx="0">
                  <c:v>Dokončeno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'!$A$14:$A$26</c:f>
              <c:strCache>
                <c:ptCount val="13"/>
                <c:pt idx="0">
                  <c:v>KHA</c:v>
                </c:pt>
                <c:pt idx="1">
                  <c:v>KS</c:v>
                </c:pt>
                <c:pt idx="2">
                  <c:v>KT</c:v>
                </c:pt>
                <c:pt idx="3">
                  <c:v>OBN</c:v>
                </c:pt>
                <c:pt idx="4">
                  <c:v>ODO</c:v>
                </c:pt>
                <c:pt idx="5">
                  <c:v>OHS</c:v>
                </c:pt>
                <c:pt idx="6">
                  <c:v>OKK</c:v>
                </c:pt>
                <c:pt idx="7">
                  <c:v>OKP</c:v>
                </c:pt>
                <c:pt idx="8">
                  <c:v>OMP</c:v>
                </c:pt>
                <c:pt idx="9">
                  <c:v>OSO</c:v>
                </c:pt>
                <c:pt idx="10">
                  <c:v>OŠK</c:v>
                </c:pt>
                <c:pt idx="11">
                  <c:v>OŽP</c:v>
                </c:pt>
                <c:pt idx="12">
                  <c:v>Školní jídelna Praha 10, p.o.</c:v>
                </c:pt>
              </c:strCache>
            </c:strRef>
          </c:cat>
          <c:val>
            <c:numRef>
              <c:f>'grafy '!$C$14:$C$26</c:f>
              <c:numCache>
                <c:formatCode>General</c:formatCode>
                <c:ptCount val="13"/>
                <c:pt idx="0">
                  <c:v>0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12</c:v>
                </c:pt>
                <c:pt idx="8">
                  <c:v>13</c:v>
                </c:pt>
                <c:pt idx="9">
                  <c:v>7</c:v>
                </c:pt>
                <c:pt idx="10">
                  <c:v>2</c:v>
                </c:pt>
                <c:pt idx="11">
                  <c:v>18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5310848"/>
        <c:axId val="635306144"/>
      </c:barChart>
      <c:catAx>
        <c:axId val="635310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35306144"/>
        <c:crosses val="autoZero"/>
        <c:auto val="1"/>
        <c:lblAlgn val="ctr"/>
        <c:lblOffset val="100"/>
        <c:noMultiLvlLbl val="0"/>
      </c:catAx>
      <c:valAx>
        <c:axId val="635306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3531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(ÚMČ Praha 10)</dc:creator>
  <cp:keywords/>
  <dc:description/>
  <cp:lastModifiedBy>Hájková Iva Bc. (ÚMČ Praha 10)</cp:lastModifiedBy>
  <cp:revision>2</cp:revision>
  <dcterms:created xsi:type="dcterms:W3CDTF">2022-11-23T08:33:00Z</dcterms:created>
  <dcterms:modified xsi:type="dcterms:W3CDTF">2022-11-23T08:40:00Z</dcterms:modified>
</cp:coreProperties>
</file>